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995D2" w14:textId="77777777" w:rsidR="000372CC" w:rsidRPr="00D53C53" w:rsidRDefault="000372CC" w:rsidP="000372CC">
      <w:pPr>
        <w:jc w:val="center"/>
        <w:rPr>
          <w:rFonts w:ascii="Arial" w:eastAsia="Arial" w:hAnsi="Arial" w:cs="Arial"/>
          <w:b/>
          <w:bCs/>
          <w:sz w:val="22"/>
          <w:szCs w:val="22"/>
          <w:lang w:val="es-CO"/>
        </w:rPr>
      </w:pPr>
    </w:p>
    <w:p w14:paraId="2BE58350" w14:textId="392CB545" w:rsidR="000372CC" w:rsidRPr="00D53C53" w:rsidRDefault="000372CC" w:rsidP="000372CC">
      <w:pPr>
        <w:jc w:val="center"/>
        <w:rPr>
          <w:rFonts w:ascii="Arial" w:eastAsia="Arial" w:hAnsi="Arial" w:cs="Arial"/>
          <w:b/>
          <w:bCs/>
          <w:lang w:val="es-CO"/>
        </w:rPr>
      </w:pPr>
      <w:bookmarkStart w:id="0" w:name="_Hlk130487434"/>
      <w:r w:rsidRPr="00D53C53">
        <w:rPr>
          <w:rFonts w:ascii="Arial" w:eastAsia="Arial" w:hAnsi="Arial" w:cs="Arial"/>
          <w:b/>
          <w:bCs/>
          <w:lang w:val="es-CO"/>
        </w:rPr>
        <w:t xml:space="preserve">AUTOGESTIÓN </w:t>
      </w:r>
      <w:r>
        <w:rPr>
          <w:rFonts w:ascii="Arial" w:eastAsia="Arial" w:hAnsi="Arial" w:cs="Arial"/>
          <w:b/>
          <w:bCs/>
          <w:lang w:val="es-CO"/>
        </w:rPr>
        <w:t>PARA EL</w:t>
      </w:r>
      <w:r w:rsidRPr="00D53C53">
        <w:rPr>
          <w:rFonts w:ascii="Arial" w:eastAsia="Arial" w:hAnsi="Arial" w:cs="Arial"/>
          <w:b/>
          <w:bCs/>
          <w:lang w:val="es-CO"/>
        </w:rPr>
        <w:t xml:space="preserve"> BLOQUEO DE </w:t>
      </w:r>
      <w:r>
        <w:rPr>
          <w:rFonts w:ascii="Arial" w:eastAsia="Arial" w:hAnsi="Arial" w:cs="Arial"/>
          <w:b/>
          <w:bCs/>
          <w:lang w:val="es-CO"/>
        </w:rPr>
        <w:t xml:space="preserve">LAS </w:t>
      </w:r>
      <w:r w:rsidRPr="00D53C53">
        <w:rPr>
          <w:rFonts w:ascii="Arial" w:eastAsia="Arial" w:hAnsi="Arial" w:cs="Arial"/>
          <w:b/>
          <w:bCs/>
          <w:lang w:val="es-CO"/>
        </w:rPr>
        <w:t xml:space="preserve">CUENTAS DE CORREO ELECTRÓNICO INSTITUCIONALES </w:t>
      </w:r>
      <w:r>
        <w:rPr>
          <w:rFonts w:ascii="Arial" w:eastAsia="Arial" w:hAnsi="Arial" w:cs="Arial"/>
          <w:b/>
          <w:bCs/>
          <w:lang w:val="es-CO"/>
        </w:rPr>
        <w:t>POR</w:t>
      </w:r>
      <w:r w:rsidRPr="00D53C53">
        <w:rPr>
          <w:rFonts w:ascii="Arial" w:eastAsia="Arial" w:hAnsi="Arial" w:cs="Arial"/>
          <w:b/>
          <w:bCs/>
          <w:lang w:val="es-CO"/>
        </w:rPr>
        <w:t xml:space="preserve"> LA VACANCIA JUDICIAL</w:t>
      </w:r>
      <w:r>
        <w:rPr>
          <w:rFonts w:ascii="Arial" w:eastAsia="Arial" w:hAnsi="Arial" w:cs="Arial"/>
          <w:b/>
          <w:bCs/>
          <w:lang w:val="es-CO"/>
        </w:rPr>
        <w:t xml:space="preserve"> DE SEMANA SANTA</w:t>
      </w:r>
      <w:r w:rsidR="00D26D06">
        <w:rPr>
          <w:rFonts w:ascii="Arial" w:eastAsia="Arial" w:hAnsi="Arial" w:cs="Arial"/>
          <w:b/>
          <w:bCs/>
          <w:lang w:val="es-CO"/>
        </w:rPr>
        <w:t xml:space="preserve"> – 2023</w:t>
      </w:r>
    </w:p>
    <w:p w14:paraId="4903A72B" w14:textId="77777777" w:rsidR="000372CC" w:rsidRDefault="000372CC" w:rsidP="000372CC">
      <w:pPr>
        <w:jc w:val="both"/>
        <w:rPr>
          <w:rFonts w:ascii="Arial" w:eastAsia="Arial" w:hAnsi="Arial" w:cs="Arial"/>
          <w:sz w:val="22"/>
          <w:szCs w:val="22"/>
          <w:lang w:val="es-CO"/>
        </w:rPr>
      </w:pPr>
    </w:p>
    <w:p w14:paraId="2C30EF0B" w14:textId="014418B8" w:rsidR="000372CC" w:rsidRPr="00D53C53" w:rsidRDefault="000372CC" w:rsidP="000372CC">
      <w:pPr>
        <w:jc w:val="both"/>
        <w:rPr>
          <w:rFonts w:ascii="Arial" w:eastAsia="Arial" w:hAnsi="Arial" w:cs="Arial"/>
          <w:sz w:val="22"/>
          <w:szCs w:val="22"/>
          <w:lang w:val="es-CO"/>
        </w:rPr>
      </w:pPr>
      <w:r w:rsidRPr="00D53C53">
        <w:rPr>
          <w:rFonts w:ascii="Arial" w:eastAsia="Arial" w:hAnsi="Arial" w:cs="Arial"/>
          <w:sz w:val="22"/>
          <w:szCs w:val="22"/>
          <w:lang w:val="es-CO"/>
        </w:rPr>
        <w:t xml:space="preserve">El Consejo Superior de la Judicatura a través del Centro de Documentación Judicial – CENDOJ como administrador funcional de los servicios de correo electrónico institucional de la Rama Judicial habilita la opción de </w:t>
      </w:r>
      <w:r w:rsidRPr="007F67C7">
        <w:rPr>
          <w:rFonts w:ascii="Arial" w:eastAsia="Arial" w:hAnsi="Arial" w:cs="Arial"/>
          <w:b/>
          <w:sz w:val="22"/>
          <w:szCs w:val="22"/>
          <w:lang w:val="es-CO"/>
        </w:rPr>
        <w:t xml:space="preserve">autogestión del bloqueo de las cuentas de correo electrónico institucional por la vacancia judicial </w:t>
      </w:r>
      <w:r w:rsidR="00E11DE5">
        <w:rPr>
          <w:rFonts w:ascii="Arial" w:eastAsia="Arial" w:hAnsi="Arial" w:cs="Arial"/>
          <w:b/>
          <w:sz w:val="22"/>
          <w:szCs w:val="22"/>
          <w:lang w:val="es-CO"/>
        </w:rPr>
        <w:t>de</w:t>
      </w:r>
      <w:r w:rsidRPr="007F67C7">
        <w:rPr>
          <w:rFonts w:ascii="Arial" w:eastAsia="Arial" w:hAnsi="Arial" w:cs="Arial"/>
          <w:b/>
          <w:sz w:val="22"/>
          <w:szCs w:val="22"/>
          <w:lang w:val="es-CO"/>
        </w:rPr>
        <w:t xml:space="preserve"> Semana Santa</w:t>
      </w:r>
      <w:r w:rsidR="00D26D06">
        <w:rPr>
          <w:rFonts w:ascii="Arial" w:eastAsia="Arial" w:hAnsi="Arial" w:cs="Arial"/>
          <w:b/>
          <w:sz w:val="22"/>
          <w:szCs w:val="22"/>
          <w:lang w:val="es-CO"/>
        </w:rPr>
        <w:t xml:space="preserve"> 2023</w:t>
      </w:r>
      <w:r w:rsidRPr="00D53C53">
        <w:rPr>
          <w:rFonts w:ascii="Arial" w:eastAsia="Arial" w:hAnsi="Arial" w:cs="Arial"/>
          <w:sz w:val="22"/>
          <w:szCs w:val="22"/>
          <w:lang w:val="es-CO"/>
        </w:rPr>
        <w:t xml:space="preserve">, </w:t>
      </w:r>
      <w:r>
        <w:rPr>
          <w:rFonts w:ascii="Arial" w:eastAsia="Arial" w:hAnsi="Arial" w:cs="Arial"/>
          <w:sz w:val="22"/>
          <w:szCs w:val="22"/>
          <w:lang w:val="es-CO"/>
        </w:rPr>
        <w:t xml:space="preserve">donde </w:t>
      </w:r>
      <w:r w:rsidRPr="00D53C53">
        <w:rPr>
          <w:rFonts w:ascii="Arial" w:eastAsia="Arial" w:hAnsi="Arial" w:cs="Arial"/>
          <w:sz w:val="22"/>
          <w:szCs w:val="22"/>
          <w:lang w:val="es-CO"/>
        </w:rPr>
        <w:t>los responsables de las cuentas de correo</w:t>
      </w:r>
      <w:r w:rsidR="00D26D06">
        <w:rPr>
          <w:rFonts w:ascii="Arial" w:eastAsia="Arial" w:hAnsi="Arial" w:cs="Arial"/>
          <w:sz w:val="22"/>
          <w:szCs w:val="22"/>
          <w:lang w:val="es-CO"/>
        </w:rPr>
        <w:t xml:space="preserve"> electrónico institucional</w:t>
      </w:r>
      <w:r>
        <w:rPr>
          <w:rFonts w:ascii="Arial" w:eastAsia="Arial" w:hAnsi="Arial" w:cs="Arial"/>
          <w:sz w:val="22"/>
          <w:szCs w:val="22"/>
          <w:lang w:val="es-CO"/>
        </w:rPr>
        <w:t xml:space="preserve"> pueden</w:t>
      </w:r>
      <w:r w:rsidRPr="00D53C53">
        <w:rPr>
          <w:rFonts w:ascii="Arial" w:eastAsia="Arial" w:hAnsi="Arial" w:cs="Arial"/>
          <w:sz w:val="22"/>
          <w:szCs w:val="22"/>
          <w:lang w:val="es-CO"/>
        </w:rPr>
        <w:t xml:space="preserve"> radicar su solicitud para el bloqueo de la cuenta de correo</w:t>
      </w:r>
      <w:r>
        <w:rPr>
          <w:rFonts w:ascii="Arial" w:eastAsia="Arial" w:hAnsi="Arial" w:cs="Arial"/>
          <w:sz w:val="22"/>
          <w:szCs w:val="22"/>
          <w:lang w:val="es-CO"/>
        </w:rPr>
        <w:t xml:space="preserve"> electrónico</w:t>
      </w:r>
      <w:r w:rsidRPr="00D53C53">
        <w:rPr>
          <w:rFonts w:ascii="Arial" w:eastAsia="Arial" w:hAnsi="Arial" w:cs="Arial"/>
          <w:sz w:val="22"/>
          <w:szCs w:val="22"/>
          <w:lang w:val="es-CO"/>
        </w:rPr>
        <w:t xml:space="preserve">, </w:t>
      </w:r>
      <w:r>
        <w:rPr>
          <w:rFonts w:ascii="Arial" w:eastAsia="Arial" w:hAnsi="Arial" w:cs="Arial"/>
          <w:sz w:val="22"/>
          <w:szCs w:val="22"/>
          <w:lang w:val="es-CO"/>
        </w:rPr>
        <w:t xml:space="preserve">permitiendo </w:t>
      </w:r>
      <w:r w:rsidRPr="00D53C53">
        <w:rPr>
          <w:rFonts w:ascii="Arial" w:eastAsia="Arial" w:hAnsi="Arial" w:cs="Arial"/>
          <w:sz w:val="22"/>
          <w:szCs w:val="22"/>
          <w:lang w:val="es-CO"/>
        </w:rPr>
        <w:t>genera</w:t>
      </w:r>
      <w:r>
        <w:rPr>
          <w:rFonts w:ascii="Arial" w:eastAsia="Arial" w:hAnsi="Arial" w:cs="Arial"/>
          <w:sz w:val="22"/>
          <w:szCs w:val="22"/>
          <w:lang w:val="es-CO"/>
        </w:rPr>
        <w:t>r</w:t>
      </w:r>
      <w:r w:rsidRPr="00D53C53">
        <w:rPr>
          <w:rFonts w:ascii="Arial" w:eastAsia="Arial" w:hAnsi="Arial" w:cs="Arial"/>
          <w:sz w:val="22"/>
          <w:szCs w:val="22"/>
          <w:lang w:val="es-CO"/>
        </w:rPr>
        <w:t xml:space="preserve"> un mensaje de respuesta automática explicativo del bloqueo realizado y que aplicar</w:t>
      </w:r>
      <w:r>
        <w:rPr>
          <w:rFonts w:ascii="Arial" w:eastAsia="Arial" w:hAnsi="Arial" w:cs="Arial"/>
          <w:sz w:val="22"/>
          <w:szCs w:val="22"/>
          <w:lang w:val="es-CO"/>
        </w:rPr>
        <w:t>á</w:t>
      </w:r>
      <w:r w:rsidRPr="00D53C53">
        <w:rPr>
          <w:rFonts w:ascii="Arial" w:eastAsia="Arial" w:hAnsi="Arial" w:cs="Arial"/>
          <w:sz w:val="22"/>
          <w:szCs w:val="22"/>
          <w:lang w:val="es-CO"/>
        </w:rPr>
        <w:t xml:space="preserve"> durante </w:t>
      </w:r>
      <w:r>
        <w:rPr>
          <w:rFonts w:ascii="Arial" w:eastAsia="Arial" w:hAnsi="Arial" w:cs="Arial"/>
          <w:sz w:val="22"/>
          <w:szCs w:val="22"/>
          <w:lang w:val="es-CO"/>
        </w:rPr>
        <w:t>este</w:t>
      </w:r>
      <w:r w:rsidRPr="00D53C53">
        <w:rPr>
          <w:rFonts w:ascii="Arial" w:eastAsia="Arial" w:hAnsi="Arial" w:cs="Arial"/>
          <w:sz w:val="22"/>
          <w:szCs w:val="22"/>
          <w:lang w:val="es-CO"/>
        </w:rPr>
        <w:t xml:space="preserve"> periodo de vacancia judicial.</w:t>
      </w:r>
    </w:p>
    <w:p w14:paraId="6C4F4B57" w14:textId="77777777" w:rsidR="000372CC" w:rsidRDefault="000372CC" w:rsidP="000372CC">
      <w:pPr>
        <w:jc w:val="both"/>
        <w:rPr>
          <w:rFonts w:ascii="Arial" w:eastAsia="Arial" w:hAnsi="Arial" w:cs="Arial"/>
          <w:sz w:val="22"/>
          <w:szCs w:val="22"/>
          <w:lang w:val="es-CO"/>
        </w:rPr>
      </w:pPr>
    </w:p>
    <w:p w14:paraId="390A3A59" w14:textId="210AED6B" w:rsidR="000372CC" w:rsidRPr="00D53C53" w:rsidRDefault="000372CC" w:rsidP="000372CC">
      <w:pPr>
        <w:jc w:val="both"/>
        <w:rPr>
          <w:rFonts w:ascii="Arial" w:eastAsia="Arial" w:hAnsi="Arial" w:cs="Arial"/>
          <w:sz w:val="22"/>
          <w:szCs w:val="22"/>
          <w:lang w:val="es-CO"/>
        </w:rPr>
      </w:pPr>
      <w:r w:rsidRPr="00D53C53">
        <w:rPr>
          <w:rFonts w:ascii="Arial" w:eastAsia="Arial" w:hAnsi="Arial" w:cs="Arial"/>
          <w:sz w:val="22"/>
          <w:szCs w:val="22"/>
          <w:lang w:val="es-CO"/>
        </w:rPr>
        <w:t xml:space="preserve">Para </w:t>
      </w:r>
      <w:r>
        <w:rPr>
          <w:rFonts w:ascii="Arial" w:eastAsia="Arial" w:hAnsi="Arial" w:cs="Arial"/>
          <w:sz w:val="22"/>
          <w:szCs w:val="22"/>
          <w:lang w:val="es-CO"/>
        </w:rPr>
        <w:t>lo cual</w:t>
      </w:r>
      <w:r w:rsidRPr="00D53C53">
        <w:rPr>
          <w:rFonts w:ascii="Arial" w:eastAsia="Arial" w:hAnsi="Arial" w:cs="Arial"/>
          <w:sz w:val="22"/>
          <w:szCs w:val="22"/>
          <w:lang w:val="es-CO"/>
        </w:rPr>
        <w:t xml:space="preserve"> se habilit</w:t>
      </w:r>
      <w:r w:rsidR="00D26D06">
        <w:rPr>
          <w:rFonts w:ascii="Arial" w:eastAsia="Arial" w:hAnsi="Arial" w:cs="Arial"/>
          <w:sz w:val="22"/>
          <w:szCs w:val="22"/>
          <w:lang w:val="es-CO"/>
        </w:rPr>
        <w:t>a</w:t>
      </w:r>
      <w:r w:rsidRPr="00D53C53">
        <w:rPr>
          <w:rFonts w:ascii="Arial" w:eastAsia="Arial" w:hAnsi="Arial" w:cs="Arial"/>
          <w:sz w:val="22"/>
          <w:szCs w:val="22"/>
          <w:lang w:val="es-CO"/>
        </w:rPr>
        <w:t xml:space="preserve"> una regla de flujo personalizada en la plataforma de correo electrónico institucional de la Rama Judicial, que procesará los datos registrados por los usuarios del servicio</w:t>
      </w:r>
      <w:r>
        <w:rPr>
          <w:rFonts w:ascii="Arial" w:eastAsia="Arial" w:hAnsi="Arial" w:cs="Arial"/>
          <w:sz w:val="22"/>
          <w:szCs w:val="22"/>
          <w:lang w:val="es-CO"/>
        </w:rPr>
        <w:t xml:space="preserve"> de correo electrónico institucional</w:t>
      </w:r>
      <w:r w:rsidRPr="00D53C53">
        <w:rPr>
          <w:rFonts w:ascii="Arial" w:eastAsia="Arial" w:hAnsi="Arial" w:cs="Arial"/>
          <w:sz w:val="22"/>
          <w:szCs w:val="22"/>
          <w:lang w:val="es-CO"/>
        </w:rPr>
        <w:t xml:space="preserve"> a través de </w:t>
      </w:r>
      <w:r>
        <w:rPr>
          <w:rFonts w:ascii="Arial" w:eastAsia="Arial" w:hAnsi="Arial" w:cs="Arial"/>
          <w:sz w:val="22"/>
          <w:szCs w:val="22"/>
          <w:lang w:val="es-CO"/>
        </w:rPr>
        <w:t>la</w:t>
      </w:r>
      <w:r w:rsidRPr="00D53C53">
        <w:rPr>
          <w:rFonts w:ascii="Arial" w:eastAsia="Arial" w:hAnsi="Arial" w:cs="Arial"/>
          <w:sz w:val="22"/>
          <w:szCs w:val="22"/>
          <w:lang w:val="es-CO"/>
        </w:rPr>
        <w:t xml:space="preserve"> aplicación </w:t>
      </w:r>
      <w:r>
        <w:rPr>
          <w:rFonts w:ascii="Arial" w:eastAsia="Arial" w:hAnsi="Arial" w:cs="Arial"/>
          <w:sz w:val="22"/>
          <w:szCs w:val="22"/>
          <w:lang w:val="es-CO"/>
        </w:rPr>
        <w:t>de</w:t>
      </w:r>
      <w:r w:rsidRPr="00D53C53">
        <w:rPr>
          <w:rFonts w:ascii="Arial" w:eastAsia="Arial" w:hAnsi="Arial" w:cs="Arial"/>
          <w:sz w:val="22"/>
          <w:szCs w:val="22"/>
          <w:lang w:val="es-CO"/>
        </w:rPr>
        <w:t xml:space="preserve"> autogestión del bloqueo de la</w:t>
      </w:r>
      <w:r>
        <w:rPr>
          <w:rFonts w:ascii="Arial" w:eastAsia="Arial" w:hAnsi="Arial" w:cs="Arial"/>
          <w:sz w:val="22"/>
          <w:szCs w:val="22"/>
          <w:lang w:val="es-CO"/>
        </w:rPr>
        <w:t>s</w:t>
      </w:r>
      <w:r w:rsidRPr="00D53C53">
        <w:rPr>
          <w:rFonts w:ascii="Arial" w:eastAsia="Arial" w:hAnsi="Arial" w:cs="Arial"/>
          <w:sz w:val="22"/>
          <w:szCs w:val="22"/>
          <w:lang w:val="es-CO"/>
        </w:rPr>
        <w:t xml:space="preserve"> cuenta</w:t>
      </w:r>
      <w:r>
        <w:rPr>
          <w:rFonts w:ascii="Arial" w:eastAsia="Arial" w:hAnsi="Arial" w:cs="Arial"/>
          <w:sz w:val="22"/>
          <w:szCs w:val="22"/>
          <w:lang w:val="es-CO"/>
        </w:rPr>
        <w:t>s</w:t>
      </w:r>
      <w:r w:rsidRPr="00D53C53">
        <w:rPr>
          <w:rFonts w:ascii="Arial" w:eastAsia="Arial" w:hAnsi="Arial" w:cs="Arial"/>
          <w:sz w:val="22"/>
          <w:szCs w:val="22"/>
          <w:lang w:val="es-CO"/>
        </w:rPr>
        <w:t xml:space="preserve"> de correo electrónico</w:t>
      </w:r>
      <w:r>
        <w:rPr>
          <w:rFonts w:ascii="Arial" w:eastAsia="Arial" w:hAnsi="Arial" w:cs="Arial"/>
          <w:sz w:val="22"/>
          <w:szCs w:val="22"/>
          <w:lang w:val="es-CO"/>
        </w:rPr>
        <w:t xml:space="preserve"> institucionales.</w:t>
      </w:r>
    </w:p>
    <w:p w14:paraId="586D37FB" w14:textId="77777777" w:rsidR="000372CC" w:rsidRDefault="000372CC" w:rsidP="000372CC">
      <w:pPr>
        <w:jc w:val="both"/>
        <w:rPr>
          <w:rFonts w:ascii="Arial" w:eastAsia="Arial" w:hAnsi="Arial" w:cs="Arial"/>
          <w:sz w:val="22"/>
          <w:szCs w:val="22"/>
          <w:lang w:val="es-CO"/>
        </w:rPr>
      </w:pPr>
    </w:p>
    <w:p w14:paraId="7109753E" w14:textId="63A17C2C" w:rsidR="000372CC" w:rsidRPr="00E11DE5" w:rsidRDefault="000372CC" w:rsidP="000372CC">
      <w:pPr>
        <w:jc w:val="both"/>
        <w:rPr>
          <w:rFonts w:ascii="Arial" w:eastAsia="Arial" w:hAnsi="Arial" w:cs="Arial"/>
          <w:sz w:val="22"/>
          <w:szCs w:val="22"/>
          <w:lang w:val="es-CO"/>
        </w:rPr>
      </w:pPr>
      <w:r w:rsidRPr="00280E56">
        <w:rPr>
          <w:rFonts w:ascii="Arial" w:eastAsia="Arial" w:hAnsi="Arial" w:cs="Arial"/>
          <w:sz w:val="22"/>
          <w:szCs w:val="22"/>
          <w:lang w:val="es-CO"/>
        </w:rPr>
        <w:t xml:space="preserve">Para registrar la solicitud de bloqueo se debe acceder al aplicativo en el siguiente enlace: </w:t>
      </w:r>
      <w:hyperlink r:id="rId9" w:history="1">
        <w:r w:rsidR="00B47963" w:rsidRPr="00280E56">
          <w:rPr>
            <w:rStyle w:val="Hipervnculo"/>
            <w:rFonts w:ascii="Arial" w:hAnsi="Arial" w:cs="Arial"/>
            <w:sz w:val="22"/>
            <w:szCs w:val="22"/>
          </w:rPr>
          <w:t>https://apps.powerapps.com/play/e/default-622cba98-80f8-41f3-8df5-8eb99901598b/a/4cd7921e-9c4e-4c41-89dd-1233d398b491?tenantId=622cba98-80f8-41f3-8df5-8eb99901598b&amp;source=portal</w:t>
        </w:r>
      </w:hyperlink>
      <w:r w:rsidRPr="00280E56">
        <w:rPr>
          <w:rFonts w:ascii="Arial" w:eastAsia="Arial" w:hAnsi="Arial" w:cs="Arial"/>
          <w:sz w:val="22"/>
          <w:szCs w:val="22"/>
          <w:lang w:val="es-CO"/>
        </w:rPr>
        <w:t xml:space="preserve"> </w:t>
      </w:r>
      <w:r w:rsidRPr="00E11DE5">
        <w:rPr>
          <w:rFonts w:ascii="Arial" w:eastAsia="Arial" w:hAnsi="Arial" w:cs="Arial"/>
          <w:sz w:val="22"/>
          <w:szCs w:val="22"/>
          <w:lang w:val="es-CO"/>
        </w:rPr>
        <w:t>si no está autenticado o no ha iniciado sesión en el navegador web deberá hacerlo con el usuario y contraseña de la cuenta de correo electrónico institucional a bloquear por la Vacancia Judicial</w:t>
      </w:r>
      <w:bookmarkEnd w:id="0"/>
      <w:r w:rsidRPr="00E11DE5">
        <w:rPr>
          <w:rFonts w:ascii="Arial" w:eastAsia="Arial" w:hAnsi="Arial" w:cs="Arial"/>
          <w:sz w:val="22"/>
          <w:szCs w:val="22"/>
          <w:lang w:val="es-CO"/>
        </w:rPr>
        <w:t>:</w:t>
      </w:r>
    </w:p>
    <w:p w14:paraId="12E3BC4B" w14:textId="77777777" w:rsidR="000372CC" w:rsidRPr="00D53C53" w:rsidRDefault="000372CC" w:rsidP="000372CC">
      <w:pPr>
        <w:jc w:val="both"/>
        <w:rPr>
          <w:rFonts w:ascii="Arial" w:eastAsia="Arial" w:hAnsi="Arial" w:cs="Arial"/>
          <w:sz w:val="22"/>
          <w:szCs w:val="22"/>
          <w:lang w:val="es-CO"/>
        </w:rPr>
      </w:pPr>
    </w:p>
    <w:p w14:paraId="333FFF91" w14:textId="3B226847" w:rsidR="00176AB2" w:rsidRPr="00D53C53" w:rsidRDefault="00176AB2" w:rsidP="00176AB2">
      <w:pPr>
        <w:jc w:val="center"/>
        <w:rPr>
          <w:rFonts w:ascii="Arial" w:eastAsia="Arial" w:hAnsi="Arial" w:cs="Arial"/>
          <w:noProof/>
          <w:sz w:val="22"/>
          <w:szCs w:val="22"/>
          <w:lang w:val="es-CO"/>
        </w:rPr>
      </w:pPr>
      <w:r w:rsidRPr="00D53C53">
        <w:rPr>
          <w:rFonts w:ascii="Arial" w:eastAsia="Arial" w:hAnsi="Arial" w:cs="Arial"/>
          <w:noProof/>
          <w:sz w:val="22"/>
          <w:szCs w:val="22"/>
          <w:lang w:val="es-CO"/>
        </w:rPr>
        <w:drawing>
          <wp:inline distT="0" distB="0" distL="0" distR="0" wp14:anchorId="15D42D9D" wp14:editId="5A74BBA1">
            <wp:extent cx="2552700" cy="2874645"/>
            <wp:effectExtent l="19050" t="19050" r="19050" b="2095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8746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Pr="00D53C53">
        <w:rPr>
          <w:rFonts w:ascii="Arial" w:hAnsi="Arial" w:cs="Arial"/>
          <w:noProof/>
          <w:sz w:val="22"/>
          <w:szCs w:val="22"/>
        </w:rPr>
        <w:t xml:space="preserve"> </w:t>
      </w:r>
      <w:r w:rsidRPr="00D53C53">
        <w:rPr>
          <w:rFonts w:ascii="Arial" w:eastAsia="Arial" w:hAnsi="Arial" w:cs="Arial"/>
          <w:noProof/>
          <w:sz w:val="22"/>
          <w:szCs w:val="22"/>
          <w:lang w:val="es-CO"/>
        </w:rPr>
        <w:drawing>
          <wp:inline distT="0" distB="0" distL="0" distR="0" wp14:anchorId="07E69071" wp14:editId="2D824B61">
            <wp:extent cx="2801620" cy="2882265"/>
            <wp:effectExtent l="19050" t="19050" r="17780" b="1333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620" cy="28822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56479BE" w14:textId="77777777" w:rsidR="000372CC" w:rsidRDefault="000372CC" w:rsidP="000372CC">
      <w:pPr>
        <w:jc w:val="both"/>
        <w:rPr>
          <w:rFonts w:ascii="Arial" w:hAnsi="Arial" w:cs="Arial"/>
          <w:b/>
          <w:noProof/>
          <w:sz w:val="22"/>
          <w:szCs w:val="22"/>
          <w:lang w:eastAsia="ar-SA"/>
        </w:rPr>
      </w:pPr>
    </w:p>
    <w:p w14:paraId="1A9F28D8" w14:textId="77777777" w:rsidR="000372CC" w:rsidRDefault="000372CC" w:rsidP="000372CC">
      <w:pPr>
        <w:jc w:val="both"/>
        <w:rPr>
          <w:rFonts w:ascii="Arial" w:hAnsi="Arial" w:cs="Arial"/>
          <w:b/>
          <w:noProof/>
          <w:sz w:val="22"/>
          <w:szCs w:val="22"/>
          <w:lang w:eastAsia="ar-SA"/>
        </w:rPr>
      </w:pPr>
    </w:p>
    <w:p w14:paraId="66EEB07F" w14:textId="77777777" w:rsidR="000372CC" w:rsidRDefault="000372CC" w:rsidP="000372CC">
      <w:pPr>
        <w:jc w:val="both"/>
        <w:rPr>
          <w:rFonts w:ascii="Arial" w:eastAsia="Arial" w:hAnsi="Arial" w:cs="Arial"/>
          <w:sz w:val="22"/>
          <w:szCs w:val="22"/>
          <w:lang w:val="es-CO"/>
        </w:rPr>
      </w:pPr>
      <w:r w:rsidRPr="00D53C53">
        <w:rPr>
          <w:rFonts w:ascii="Arial" w:eastAsia="Arial" w:hAnsi="Arial" w:cs="Arial"/>
          <w:sz w:val="22"/>
          <w:szCs w:val="22"/>
          <w:lang w:val="es-CO"/>
        </w:rPr>
        <w:br w:type="page"/>
      </w:r>
      <w:r w:rsidRPr="00D53C53">
        <w:rPr>
          <w:rFonts w:ascii="Arial" w:eastAsia="Arial" w:hAnsi="Arial" w:cs="Arial"/>
          <w:sz w:val="22"/>
          <w:szCs w:val="22"/>
          <w:lang w:val="es-CO"/>
        </w:rPr>
        <w:lastRenderedPageBreak/>
        <w:t>Se abrirá una ventana en el navegador web, donde debe</w:t>
      </w:r>
      <w:r>
        <w:rPr>
          <w:rFonts w:ascii="Arial" w:eastAsia="Arial" w:hAnsi="Arial" w:cs="Arial"/>
          <w:sz w:val="22"/>
          <w:szCs w:val="22"/>
          <w:lang w:val="es-CO"/>
        </w:rPr>
        <w:t>rá</w:t>
      </w:r>
      <w:r w:rsidRPr="00D53C53">
        <w:rPr>
          <w:rFonts w:ascii="Arial" w:eastAsia="Arial" w:hAnsi="Arial" w:cs="Arial"/>
          <w:sz w:val="22"/>
          <w:szCs w:val="22"/>
          <w:lang w:val="es-CO"/>
        </w:rPr>
        <w:t xml:space="preserve"> autorizar los permisos de SharePoint </w:t>
      </w:r>
      <w:r>
        <w:rPr>
          <w:rFonts w:ascii="Arial" w:eastAsia="Arial" w:hAnsi="Arial" w:cs="Arial"/>
          <w:sz w:val="22"/>
          <w:szCs w:val="22"/>
          <w:lang w:val="es-CO"/>
        </w:rPr>
        <w:t>si es</w:t>
      </w:r>
      <w:r w:rsidRPr="00D53C53">
        <w:rPr>
          <w:rFonts w:ascii="Arial" w:eastAsia="Arial" w:hAnsi="Arial" w:cs="Arial"/>
          <w:sz w:val="22"/>
          <w:szCs w:val="22"/>
          <w:lang w:val="es-CO"/>
        </w:rPr>
        <w:t xml:space="preserve"> la primera vez que utiliza la aplicación, dando clic en el botón </w:t>
      </w:r>
      <w:r w:rsidRPr="00D53C53">
        <w:rPr>
          <w:rFonts w:ascii="Arial" w:eastAsia="Arial" w:hAnsi="Arial" w:cs="Arial"/>
          <w:b/>
          <w:bCs/>
          <w:sz w:val="22"/>
          <w:szCs w:val="22"/>
          <w:lang w:val="es-CO"/>
        </w:rPr>
        <w:t>Permitir</w:t>
      </w:r>
      <w:r w:rsidRPr="00D53C53">
        <w:rPr>
          <w:rFonts w:ascii="Arial" w:eastAsia="Arial" w:hAnsi="Arial" w:cs="Arial"/>
          <w:sz w:val="22"/>
          <w:szCs w:val="22"/>
          <w:lang w:val="es-CO"/>
        </w:rPr>
        <w:t>:</w:t>
      </w:r>
    </w:p>
    <w:p w14:paraId="6DF5E3A8" w14:textId="77777777" w:rsidR="000372CC" w:rsidRPr="00D53C53" w:rsidRDefault="000372CC" w:rsidP="000372CC">
      <w:pPr>
        <w:jc w:val="both"/>
        <w:rPr>
          <w:rFonts w:ascii="Arial" w:eastAsia="Arial" w:hAnsi="Arial" w:cs="Arial"/>
          <w:sz w:val="22"/>
          <w:szCs w:val="22"/>
          <w:lang w:val="es-CO"/>
        </w:rPr>
      </w:pPr>
    </w:p>
    <w:p w14:paraId="20E4125E" w14:textId="4FB919EF" w:rsidR="00176AB2" w:rsidRDefault="006376D6" w:rsidP="00176AB2">
      <w:pPr>
        <w:jc w:val="center"/>
        <w:rPr>
          <w:rFonts w:ascii="Arial" w:hAnsi="Arial" w:cs="Arial"/>
          <w:noProof/>
          <w:sz w:val="22"/>
          <w:szCs w:val="22"/>
          <w:lang w:eastAsia="ar-SA"/>
        </w:rPr>
      </w:pPr>
      <w:r>
        <w:rPr>
          <w:rFonts w:ascii="Arial" w:hAnsi="Arial" w:cs="Arial"/>
          <w:noProof/>
          <w:sz w:val="22"/>
          <w:szCs w:val="22"/>
          <w:lang w:eastAsia="ar-SA"/>
        </w:rPr>
        <w:drawing>
          <wp:inline distT="0" distB="0" distL="0" distR="0" wp14:anchorId="537D20D1" wp14:editId="2E59A87A">
            <wp:extent cx="4762500" cy="4648200"/>
            <wp:effectExtent l="19050" t="19050" r="19050" b="1905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6482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B735513" w14:textId="77777777" w:rsidR="000372CC" w:rsidRPr="00D53C53" w:rsidRDefault="000372CC" w:rsidP="000372CC">
      <w:pPr>
        <w:jc w:val="center"/>
        <w:rPr>
          <w:rFonts w:ascii="Arial" w:hAnsi="Arial" w:cs="Arial"/>
          <w:noProof/>
          <w:sz w:val="22"/>
          <w:szCs w:val="22"/>
          <w:lang w:eastAsia="ar-SA"/>
        </w:rPr>
      </w:pPr>
    </w:p>
    <w:p w14:paraId="7293B0A9" w14:textId="1C856AEC" w:rsidR="000372CC" w:rsidRDefault="000372CC" w:rsidP="000372CC">
      <w:pPr>
        <w:jc w:val="both"/>
        <w:rPr>
          <w:rFonts w:ascii="Arial" w:eastAsia="Arial" w:hAnsi="Arial" w:cs="Arial"/>
          <w:b/>
          <w:bCs/>
          <w:sz w:val="22"/>
          <w:szCs w:val="22"/>
          <w:lang w:val="es-CO"/>
        </w:rPr>
      </w:pPr>
      <w:r w:rsidRPr="00D53C53">
        <w:rPr>
          <w:rFonts w:ascii="Arial" w:eastAsia="Arial" w:hAnsi="Arial" w:cs="Arial"/>
          <w:sz w:val="22"/>
          <w:szCs w:val="22"/>
          <w:lang w:val="es-CO"/>
        </w:rPr>
        <w:t xml:space="preserve">Luego de darle </w:t>
      </w:r>
      <w:r w:rsidRPr="00D53C53">
        <w:rPr>
          <w:rFonts w:ascii="Arial" w:eastAsia="Arial" w:hAnsi="Arial" w:cs="Arial"/>
          <w:b/>
          <w:bCs/>
          <w:sz w:val="22"/>
          <w:szCs w:val="22"/>
          <w:lang w:val="es-CO"/>
        </w:rPr>
        <w:t>Permitir</w:t>
      </w:r>
      <w:r w:rsidRPr="00D53C53">
        <w:rPr>
          <w:rFonts w:ascii="Arial" w:eastAsia="Arial" w:hAnsi="Arial" w:cs="Arial"/>
          <w:sz w:val="22"/>
          <w:szCs w:val="22"/>
          <w:lang w:val="es-CO"/>
        </w:rPr>
        <w:t xml:space="preserve">, se abrirá </w:t>
      </w:r>
      <w:r>
        <w:rPr>
          <w:rFonts w:ascii="Arial" w:eastAsia="Arial" w:hAnsi="Arial" w:cs="Arial"/>
          <w:sz w:val="22"/>
          <w:szCs w:val="22"/>
          <w:lang w:val="es-CO"/>
        </w:rPr>
        <w:t>una</w:t>
      </w:r>
      <w:r w:rsidRPr="00D53C53">
        <w:rPr>
          <w:rFonts w:ascii="Arial" w:eastAsia="Arial" w:hAnsi="Arial" w:cs="Arial"/>
          <w:sz w:val="22"/>
          <w:szCs w:val="22"/>
          <w:lang w:val="es-CO"/>
        </w:rPr>
        <w:t xml:space="preserve"> ventana donde se podrá seleccionar la opción de </w:t>
      </w:r>
      <w:r w:rsidRPr="00A90468">
        <w:rPr>
          <w:rFonts w:ascii="Arial" w:eastAsia="Arial" w:hAnsi="Arial" w:cs="Arial"/>
          <w:b/>
          <w:bCs/>
          <w:sz w:val="22"/>
          <w:szCs w:val="22"/>
          <w:lang w:val="es-CO"/>
        </w:rPr>
        <w:t xml:space="preserve">Bloqueo por </w:t>
      </w:r>
      <w:r w:rsidR="00931268" w:rsidRPr="00A90468">
        <w:rPr>
          <w:rFonts w:ascii="Arial" w:eastAsia="Arial" w:hAnsi="Arial" w:cs="Arial"/>
          <w:b/>
          <w:bCs/>
          <w:sz w:val="22"/>
          <w:szCs w:val="22"/>
          <w:lang w:val="es-CO"/>
        </w:rPr>
        <w:t>Semana</w:t>
      </w:r>
      <w:r w:rsidR="00931268" w:rsidRPr="00CA5320">
        <w:rPr>
          <w:rFonts w:ascii="Arial" w:eastAsia="Arial" w:hAnsi="Arial" w:cs="Arial"/>
          <w:b/>
          <w:bCs/>
          <w:sz w:val="22"/>
          <w:szCs w:val="22"/>
          <w:lang w:val="es-CO"/>
        </w:rPr>
        <w:t xml:space="preserve"> Santa</w:t>
      </w:r>
      <w:r w:rsidRPr="00A90468">
        <w:rPr>
          <w:rFonts w:ascii="Arial" w:eastAsia="Arial" w:hAnsi="Arial" w:cs="Arial"/>
          <w:b/>
          <w:bCs/>
          <w:sz w:val="22"/>
          <w:szCs w:val="22"/>
          <w:lang w:val="es-CO"/>
        </w:rPr>
        <w:t>.</w:t>
      </w:r>
    </w:p>
    <w:p w14:paraId="26ED3FC7" w14:textId="77777777" w:rsidR="000372CC" w:rsidRPr="00D53C53" w:rsidRDefault="000372CC" w:rsidP="000372CC">
      <w:pPr>
        <w:jc w:val="both"/>
        <w:rPr>
          <w:rFonts w:ascii="Arial" w:eastAsia="Arial" w:hAnsi="Arial" w:cs="Arial"/>
          <w:sz w:val="22"/>
          <w:szCs w:val="22"/>
          <w:lang w:val="es-CO"/>
        </w:rPr>
      </w:pPr>
    </w:p>
    <w:p w14:paraId="120F9426" w14:textId="40A12E48" w:rsidR="00176AB2" w:rsidRDefault="00931268" w:rsidP="00176AB2">
      <w:pPr>
        <w:jc w:val="both"/>
        <w:rPr>
          <w:rFonts w:ascii="Arial" w:eastAsia="Arial" w:hAnsi="Arial" w:cs="Arial"/>
          <w:sz w:val="22"/>
          <w:szCs w:val="22"/>
          <w:lang w:val="es-CO"/>
        </w:rPr>
      </w:pPr>
      <w:r>
        <w:rPr>
          <w:rFonts w:ascii="Arial" w:eastAsia="Arial" w:hAnsi="Arial" w:cs="Arial"/>
          <w:noProof/>
          <w:sz w:val="22"/>
          <w:szCs w:val="22"/>
          <w:lang w:val="es-CO"/>
        </w:rPr>
        <w:lastRenderedPageBreak/>
        <w:drawing>
          <wp:inline distT="0" distB="0" distL="0" distR="0" wp14:anchorId="176DD1E1" wp14:editId="6373518E">
            <wp:extent cx="5600700" cy="2301240"/>
            <wp:effectExtent l="19050" t="19050" r="19050" b="2286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23012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2795175" w14:textId="77777777" w:rsidR="00D26D06" w:rsidRPr="00D53C53" w:rsidRDefault="00D26D06" w:rsidP="00176AB2">
      <w:pPr>
        <w:jc w:val="both"/>
        <w:rPr>
          <w:rFonts w:ascii="Arial" w:eastAsia="Arial" w:hAnsi="Arial" w:cs="Arial"/>
          <w:sz w:val="22"/>
          <w:szCs w:val="22"/>
          <w:lang w:val="es-CO"/>
        </w:rPr>
      </w:pPr>
    </w:p>
    <w:p w14:paraId="23D5E588" w14:textId="77777777" w:rsidR="000372CC" w:rsidRPr="00125AAB" w:rsidRDefault="000372CC" w:rsidP="000372CC">
      <w:pPr>
        <w:jc w:val="both"/>
        <w:rPr>
          <w:rFonts w:ascii="Arial" w:eastAsia="Arial" w:hAnsi="Arial" w:cs="Arial"/>
          <w:sz w:val="22"/>
          <w:szCs w:val="22"/>
          <w:lang w:val="es-CO"/>
        </w:rPr>
      </w:pPr>
      <w:r w:rsidRPr="00125AAB">
        <w:rPr>
          <w:rFonts w:ascii="Arial" w:eastAsia="Arial" w:hAnsi="Arial" w:cs="Arial"/>
          <w:sz w:val="22"/>
          <w:szCs w:val="22"/>
          <w:lang w:val="es-CO"/>
        </w:rPr>
        <w:t xml:space="preserve">A continuación, se visualizarán las condiciones e indicaciones del proceso de bloqueo de la cuenta de correo electrónico institucional con que se inició sesión, luego de leer se debe dar clic en el botón </w:t>
      </w:r>
      <w:r w:rsidRPr="00125AAB">
        <w:rPr>
          <w:rFonts w:ascii="Arial" w:eastAsia="Arial" w:hAnsi="Arial" w:cs="Arial"/>
          <w:b/>
          <w:bCs/>
          <w:sz w:val="22"/>
          <w:szCs w:val="22"/>
          <w:lang w:val="es-CO"/>
        </w:rPr>
        <w:t>Continuar</w:t>
      </w:r>
      <w:r w:rsidRPr="00125AAB">
        <w:rPr>
          <w:rFonts w:ascii="Arial" w:eastAsia="Arial" w:hAnsi="Arial" w:cs="Arial"/>
          <w:sz w:val="22"/>
          <w:szCs w:val="22"/>
          <w:lang w:val="es-CO"/>
        </w:rPr>
        <w:t>.</w:t>
      </w:r>
    </w:p>
    <w:p w14:paraId="5FD36533" w14:textId="77777777" w:rsidR="000372CC" w:rsidRPr="006B1EAF" w:rsidRDefault="000372CC" w:rsidP="000372CC">
      <w:pPr>
        <w:jc w:val="both"/>
        <w:rPr>
          <w:rFonts w:ascii="Arial" w:eastAsia="Arial" w:hAnsi="Arial" w:cs="Arial"/>
          <w:sz w:val="22"/>
          <w:szCs w:val="22"/>
          <w:highlight w:val="yellow"/>
          <w:lang w:val="es-CO"/>
        </w:rPr>
      </w:pPr>
    </w:p>
    <w:p w14:paraId="15AB7010" w14:textId="32E4460D" w:rsidR="00176AB2" w:rsidRPr="00D53C53" w:rsidRDefault="000A3DF5" w:rsidP="00176AB2">
      <w:pPr>
        <w:jc w:val="center"/>
        <w:rPr>
          <w:rFonts w:ascii="Arial" w:eastAsia="Arial" w:hAnsi="Arial" w:cs="Arial"/>
          <w:sz w:val="22"/>
          <w:szCs w:val="22"/>
          <w:lang w:val="es-CO"/>
        </w:rPr>
      </w:pPr>
      <w:r>
        <w:rPr>
          <w:rFonts w:ascii="Arial" w:eastAsia="Arial" w:hAnsi="Arial" w:cs="Arial"/>
          <w:noProof/>
          <w:sz w:val="22"/>
          <w:szCs w:val="22"/>
          <w:lang w:val="es-CO"/>
        </w:rPr>
        <w:drawing>
          <wp:inline distT="0" distB="0" distL="0" distR="0" wp14:anchorId="67B7DA87" wp14:editId="2FCEC31C">
            <wp:extent cx="5600700" cy="3143250"/>
            <wp:effectExtent l="19050" t="19050" r="19050" b="1905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1432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F901553" w14:textId="77777777" w:rsidR="001B1AD5" w:rsidRDefault="001B1AD5" w:rsidP="000372CC">
      <w:pPr>
        <w:jc w:val="both"/>
        <w:rPr>
          <w:rFonts w:ascii="Arial" w:eastAsia="Arial" w:hAnsi="Arial" w:cs="Arial"/>
          <w:sz w:val="22"/>
          <w:szCs w:val="22"/>
          <w:lang w:val="es-CO"/>
        </w:rPr>
      </w:pPr>
    </w:p>
    <w:p w14:paraId="0CCDF273" w14:textId="77777777" w:rsidR="000372CC" w:rsidRDefault="000372CC" w:rsidP="000372CC">
      <w:pPr>
        <w:jc w:val="both"/>
        <w:rPr>
          <w:rFonts w:ascii="Arial" w:eastAsia="Arial" w:hAnsi="Arial" w:cs="Arial"/>
          <w:sz w:val="22"/>
          <w:szCs w:val="22"/>
          <w:lang w:val="es-CO"/>
        </w:rPr>
      </w:pPr>
      <w:r w:rsidRPr="00D53C53">
        <w:rPr>
          <w:rFonts w:ascii="Arial" w:eastAsia="Arial" w:hAnsi="Arial" w:cs="Arial"/>
          <w:sz w:val="22"/>
          <w:szCs w:val="22"/>
          <w:lang w:val="es-CO"/>
        </w:rPr>
        <w:t xml:space="preserve">Para finalizar, se debe activar el cuadro de </w:t>
      </w:r>
      <w:r w:rsidRPr="00125AAB">
        <w:rPr>
          <w:rFonts w:ascii="Arial" w:eastAsia="Arial" w:hAnsi="Arial" w:cs="Arial"/>
          <w:b/>
          <w:bCs/>
          <w:sz w:val="22"/>
          <w:szCs w:val="22"/>
          <w:lang w:val="es-CO"/>
        </w:rPr>
        <w:t>Acepto el Bloqueo por Vacancia Judicial</w:t>
      </w:r>
      <w:r w:rsidRPr="00125AAB">
        <w:rPr>
          <w:rFonts w:ascii="Arial" w:eastAsia="Arial" w:hAnsi="Arial" w:cs="Arial"/>
          <w:sz w:val="22"/>
          <w:szCs w:val="22"/>
          <w:lang w:val="es-CO"/>
        </w:rPr>
        <w:t xml:space="preserve"> y dar clic en el botón </w:t>
      </w:r>
      <w:r w:rsidRPr="00125AAB">
        <w:rPr>
          <w:rFonts w:ascii="Arial" w:eastAsia="Arial" w:hAnsi="Arial" w:cs="Arial"/>
          <w:b/>
          <w:bCs/>
          <w:sz w:val="22"/>
          <w:szCs w:val="22"/>
          <w:lang w:val="es-CO"/>
        </w:rPr>
        <w:t>Guardar y Enviar</w:t>
      </w:r>
      <w:r w:rsidRPr="00125AAB">
        <w:rPr>
          <w:rFonts w:ascii="Arial" w:eastAsia="Arial" w:hAnsi="Arial" w:cs="Arial"/>
          <w:sz w:val="22"/>
          <w:szCs w:val="22"/>
          <w:lang w:val="es-CO"/>
        </w:rPr>
        <w:t>.</w:t>
      </w:r>
    </w:p>
    <w:p w14:paraId="3A080544" w14:textId="733A9E2D" w:rsidR="00176AB2" w:rsidRPr="00D53C53" w:rsidRDefault="0006268E" w:rsidP="00176AB2">
      <w:pPr>
        <w:jc w:val="both"/>
        <w:rPr>
          <w:rFonts w:ascii="Arial" w:eastAsia="Arial" w:hAnsi="Arial" w:cs="Arial"/>
          <w:sz w:val="22"/>
          <w:szCs w:val="22"/>
          <w:lang w:val="es-CO"/>
        </w:rPr>
      </w:pPr>
      <w:r>
        <w:rPr>
          <w:rFonts w:ascii="Arial" w:eastAsia="Arial" w:hAnsi="Arial" w:cs="Arial"/>
          <w:noProof/>
          <w:sz w:val="22"/>
          <w:szCs w:val="22"/>
          <w:lang w:val="es-CO"/>
        </w:rPr>
        <w:lastRenderedPageBreak/>
        <w:drawing>
          <wp:inline distT="0" distB="0" distL="0" distR="0" wp14:anchorId="2BAF5438" wp14:editId="1961D63F">
            <wp:extent cx="5608320" cy="3078480"/>
            <wp:effectExtent l="19050" t="19050" r="11430" b="2667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320" cy="30784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108E6EF" w14:textId="77777777" w:rsidR="001B1AD5" w:rsidRDefault="001B1AD5" w:rsidP="000372CC">
      <w:pPr>
        <w:jc w:val="both"/>
        <w:rPr>
          <w:rFonts w:ascii="Arial" w:eastAsia="Arial" w:hAnsi="Arial" w:cs="Arial"/>
          <w:sz w:val="22"/>
          <w:szCs w:val="22"/>
          <w:lang w:val="es-CO"/>
        </w:rPr>
      </w:pPr>
    </w:p>
    <w:p w14:paraId="66219F0C" w14:textId="56F1EBB3" w:rsidR="000372CC" w:rsidRDefault="000372CC" w:rsidP="000372CC">
      <w:pPr>
        <w:jc w:val="both"/>
        <w:rPr>
          <w:rFonts w:ascii="Arial" w:eastAsia="Arial" w:hAnsi="Arial" w:cs="Arial"/>
          <w:sz w:val="22"/>
          <w:szCs w:val="22"/>
          <w:lang w:val="es-CO"/>
        </w:rPr>
      </w:pPr>
      <w:r w:rsidRPr="00D53C53">
        <w:rPr>
          <w:rFonts w:ascii="Arial" w:eastAsia="Arial" w:hAnsi="Arial" w:cs="Arial"/>
          <w:sz w:val="22"/>
          <w:szCs w:val="22"/>
          <w:lang w:val="es-CO"/>
        </w:rPr>
        <w:t>Por último, la aplicación de autogestión del bloqueo lo devolverá a la ventana principal donde podrá verificar la fecha de inicio del bloqueo por</w:t>
      </w:r>
      <w:r>
        <w:rPr>
          <w:rFonts w:ascii="Arial" w:eastAsia="Arial" w:hAnsi="Arial" w:cs="Arial"/>
          <w:sz w:val="22"/>
          <w:szCs w:val="22"/>
          <w:lang w:val="es-CO"/>
        </w:rPr>
        <w:t xml:space="preserve"> la</w:t>
      </w:r>
      <w:r w:rsidRPr="00D53C53">
        <w:rPr>
          <w:rFonts w:ascii="Arial" w:eastAsia="Arial" w:hAnsi="Arial" w:cs="Arial"/>
          <w:sz w:val="22"/>
          <w:szCs w:val="22"/>
          <w:lang w:val="es-CO"/>
        </w:rPr>
        <w:t xml:space="preserve"> </w:t>
      </w:r>
      <w:r>
        <w:rPr>
          <w:rFonts w:ascii="Arial" w:eastAsia="Arial" w:hAnsi="Arial" w:cs="Arial"/>
          <w:sz w:val="22"/>
          <w:szCs w:val="22"/>
          <w:lang w:val="es-CO"/>
        </w:rPr>
        <w:t>v</w:t>
      </w:r>
      <w:r w:rsidRPr="00D53C53">
        <w:rPr>
          <w:rFonts w:ascii="Arial" w:eastAsia="Arial" w:hAnsi="Arial" w:cs="Arial"/>
          <w:sz w:val="22"/>
          <w:szCs w:val="22"/>
          <w:lang w:val="es-CO"/>
        </w:rPr>
        <w:t xml:space="preserve">acancia </w:t>
      </w:r>
      <w:r>
        <w:rPr>
          <w:rFonts w:ascii="Arial" w:eastAsia="Arial" w:hAnsi="Arial" w:cs="Arial"/>
          <w:sz w:val="22"/>
          <w:szCs w:val="22"/>
          <w:lang w:val="es-CO"/>
        </w:rPr>
        <w:t>j</w:t>
      </w:r>
      <w:r w:rsidRPr="00D53C53">
        <w:rPr>
          <w:rFonts w:ascii="Arial" w:eastAsia="Arial" w:hAnsi="Arial" w:cs="Arial"/>
          <w:sz w:val="22"/>
          <w:szCs w:val="22"/>
          <w:lang w:val="es-CO"/>
        </w:rPr>
        <w:t xml:space="preserve">udicial, la fecha de desbloqueo, el tipo de bloqueo y el estado de la solicitud; </w:t>
      </w:r>
      <w:r>
        <w:rPr>
          <w:rFonts w:ascii="Arial" w:eastAsia="Arial" w:hAnsi="Arial" w:cs="Arial"/>
          <w:sz w:val="22"/>
          <w:szCs w:val="22"/>
          <w:lang w:val="es-CO"/>
        </w:rPr>
        <w:t>el estado</w:t>
      </w:r>
      <w:r w:rsidRPr="00D53C53">
        <w:rPr>
          <w:rFonts w:ascii="Arial" w:eastAsia="Arial" w:hAnsi="Arial" w:cs="Arial"/>
          <w:sz w:val="22"/>
          <w:szCs w:val="22"/>
          <w:lang w:val="es-CO"/>
        </w:rPr>
        <w:t xml:space="preserve"> cambiará una vez se inicie el bloqueo masivo de todas las cuentas de correo electrónico institucional</w:t>
      </w:r>
      <w:r>
        <w:rPr>
          <w:rFonts w:ascii="Arial" w:eastAsia="Arial" w:hAnsi="Arial" w:cs="Arial"/>
          <w:sz w:val="22"/>
          <w:szCs w:val="22"/>
          <w:lang w:val="es-CO"/>
        </w:rPr>
        <w:t>es</w:t>
      </w:r>
      <w:r w:rsidRPr="00D53C53">
        <w:rPr>
          <w:rFonts w:ascii="Arial" w:eastAsia="Arial" w:hAnsi="Arial" w:cs="Arial"/>
          <w:sz w:val="22"/>
          <w:szCs w:val="22"/>
          <w:lang w:val="es-CO"/>
        </w:rPr>
        <w:t xml:space="preserve"> que radicaron la solicitud en el tiempo establecido por la </w:t>
      </w:r>
      <w:r>
        <w:rPr>
          <w:rFonts w:ascii="Arial" w:eastAsia="Arial" w:hAnsi="Arial" w:cs="Arial"/>
          <w:sz w:val="22"/>
          <w:szCs w:val="22"/>
          <w:lang w:val="es-CO"/>
        </w:rPr>
        <w:t>v</w:t>
      </w:r>
      <w:r w:rsidRPr="00D53C53">
        <w:rPr>
          <w:rFonts w:ascii="Arial" w:eastAsia="Arial" w:hAnsi="Arial" w:cs="Arial"/>
          <w:sz w:val="22"/>
          <w:szCs w:val="22"/>
          <w:lang w:val="es-CO"/>
        </w:rPr>
        <w:t xml:space="preserve">acancia </w:t>
      </w:r>
      <w:r>
        <w:rPr>
          <w:rFonts w:ascii="Arial" w:eastAsia="Arial" w:hAnsi="Arial" w:cs="Arial"/>
          <w:sz w:val="22"/>
          <w:szCs w:val="22"/>
          <w:lang w:val="es-CO"/>
        </w:rPr>
        <w:t>j</w:t>
      </w:r>
      <w:r w:rsidRPr="00D53C53">
        <w:rPr>
          <w:rFonts w:ascii="Arial" w:eastAsia="Arial" w:hAnsi="Arial" w:cs="Arial"/>
          <w:sz w:val="22"/>
          <w:szCs w:val="22"/>
          <w:lang w:val="es-CO"/>
        </w:rPr>
        <w:t>udicial</w:t>
      </w:r>
      <w:r w:rsidR="001B1AD5">
        <w:rPr>
          <w:rFonts w:ascii="Arial" w:eastAsia="Arial" w:hAnsi="Arial" w:cs="Arial"/>
          <w:sz w:val="22"/>
          <w:szCs w:val="22"/>
          <w:lang w:val="es-CO"/>
        </w:rPr>
        <w:t xml:space="preserve"> de Semana Santa</w:t>
      </w:r>
      <w:r w:rsidRPr="00D53C53">
        <w:rPr>
          <w:rFonts w:ascii="Arial" w:eastAsia="Arial" w:hAnsi="Arial" w:cs="Arial"/>
          <w:sz w:val="22"/>
          <w:szCs w:val="22"/>
          <w:lang w:val="es-CO"/>
        </w:rPr>
        <w:t>.</w:t>
      </w:r>
    </w:p>
    <w:p w14:paraId="32DF82C0" w14:textId="77777777" w:rsidR="000372CC" w:rsidRPr="00D53C53" w:rsidRDefault="000372CC" w:rsidP="000372CC">
      <w:pPr>
        <w:jc w:val="both"/>
        <w:rPr>
          <w:rFonts w:ascii="Arial" w:eastAsia="Arial" w:hAnsi="Arial" w:cs="Arial"/>
          <w:sz w:val="22"/>
          <w:szCs w:val="22"/>
          <w:lang w:val="es-CO"/>
        </w:rPr>
      </w:pPr>
    </w:p>
    <w:p w14:paraId="700BE7E1" w14:textId="7981EECB" w:rsidR="00176AB2" w:rsidRPr="00D53C53" w:rsidRDefault="00280E56" w:rsidP="00176AB2">
      <w:pPr>
        <w:jc w:val="both"/>
        <w:rPr>
          <w:rFonts w:ascii="Arial" w:eastAsia="Arial" w:hAnsi="Arial" w:cs="Arial"/>
          <w:sz w:val="22"/>
          <w:szCs w:val="22"/>
          <w:lang w:val="es-CO"/>
        </w:rPr>
      </w:pPr>
      <w:r>
        <w:rPr>
          <w:rFonts w:ascii="Arial" w:eastAsia="Arial" w:hAnsi="Arial" w:cs="Arial"/>
          <w:noProof/>
          <w:sz w:val="22"/>
          <w:szCs w:val="22"/>
          <w:lang w:val="es-CO"/>
        </w:rPr>
        <w:drawing>
          <wp:inline distT="0" distB="0" distL="0" distR="0" wp14:anchorId="7634F88F" wp14:editId="09D9B05B">
            <wp:extent cx="5613400" cy="3145790"/>
            <wp:effectExtent l="19050" t="19050" r="25400" b="1651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0" cy="31457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7C0D9A3" w14:textId="77777777" w:rsidR="000372CC" w:rsidRDefault="000372CC" w:rsidP="000372CC">
      <w:pPr>
        <w:jc w:val="both"/>
        <w:rPr>
          <w:rFonts w:ascii="Arial" w:eastAsia="Arial" w:hAnsi="Arial" w:cs="Arial"/>
          <w:sz w:val="22"/>
          <w:szCs w:val="22"/>
          <w:lang w:val="es-CO"/>
        </w:rPr>
      </w:pPr>
    </w:p>
    <w:p w14:paraId="5C69F6BD" w14:textId="77777777" w:rsidR="000372CC" w:rsidRDefault="000372CC" w:rsidP="000372CC">
      <w:pPr>
        <w:jc w:val="both"/>
        <w:rPr>
          <w:rFonts w:ascii="Arial" w:eastAsia="Arial" w:hAnsi="Arial" w:cs="Arial"/>
          <w:sz w:val="22"/>
          <w:szCs w:val="22"/>
          <w:lang w:val="es-CO"/>
        </w:rPr>
      </w:pPr>
    </w:p>
    <w:p w14:paraId="682B9729" w14:textId="77777777" w:rsidR="000372CC" w:rsidRDefault="000372CC" w:rsidP="000372CC">
      <w:pPr>
        <w:jc w:val="both"/>
        <w:rPr>
          <w:rFonts w:ascii="Arial" w:eastAsia="Arial" w:hAnsi="Arial" w:cs="Arial"/>
          <w:sz w:val="22"/>
          <w:szCs w:val="22"/>
          <w:lang w:val="es-CO"/>
        </w:rPr>
      </w:pPr>
      <w:r w:rsidRPr="00D53C53">
        <w:rPr>
          <w:rFonts w:ascii="Arial" w:eastAsia="Arial" w:hAnsi="Arial" w:cs="Arial"/>
          <w:sz w:val="22"/>
          <w:szCs w:val="22"/>
          <w:lang w:val="es-CO"/>
        </w:rPr>
        <w:lastRenderedPageBreak/>
        <w:t xml:space="preserve">El soporte y apoyo técnico será brindado por el Centro de Documentación Judicial </w:t>
      </w:r>
      <w:r>
        <w:rPr>
          <w:rFonts w:ascii="Arial" w:eastAsia="Arial" w:hAnsi="Arial" w:cs="Arial"/>
          <w:sz w:val="22"/>
          <w:szCs w:val="22"/>
          <w:lang w:val="es-CO"/>
        </w:rPr>
        <w:t>-</w:t>
      </w:r>
      <w:r w:rsidRPr="00D53C53">
        <w:rPr>
          <w:rFonts w:ascii="Arial" w:eastAsia="Arial" w:hAnsi="Arial" w:cs="Arial"/>
          <w:sz w:val="22"/>
          <w:szCs w:val="22"/>
          <w:lang w:val="es-CO"/>
        </w:rPr>
        <w:t>CENDOJ</w:t>
      </w:r>
      <w:r>
        <w:rPr>
          <w:rFonts w:ascii="Arial" w:eastAsia="Arial" w:hAnsi="Arial" w:cs="Arial"/>
          <w:sz w:val="22"/>
          <w:szCs w:val="22"/>
          <w:lang w:val="es-CO"/>
        </w:rPr>
        <w:t xml:space="preserve">, </w:t>
      </w:r>
      <w:r w:rsidRPr="00D53C53">
        <w:rPr>
          <w:rFonts w:ascii="Arial" w:eastAsia="Arial" w:hAnsi="Arial" w:cs="Arial"/>
          <w:sz w:val="22"/>
          <w:szCs w:val="22"/>
          <w:lang w:val="es-CO"/>
        </w:rPr>
        <w:t xml:space="preserve">a través de la Mesa de ayuda de </w:t>
      </w:r>
      <w:r>
        <w:rPr>
          <w:rFonts w:ascii="Arial" w:eastAsia="Arial" w:hAnsi="Arial" w:cs="Arial"/>
          <w:sz w:val="22"/>
          <w:szCs w:val="22"/>
          <w:lang w:val="es-CO"/>
        </w:rPr>
        <w:t>S</w:t>
      </w:r>
      <w:r w:rsidRPr="00D53C53">
        <w:rPr>
          <w:rFonts w:ascii="Arial" w:eastAsia="Arial" w:hAnsi="Arial" w:cs="Arial"/>
          <w:sz w:val="22"/>
          <w:szCs w:val="22"/>
          <w:lang w:val="es-CO"/>
        </w:rPr>
        <w:t xml:space="preserve">oporte de correo electrónico: </w:t>
      </w:r>
      <w:hyperlink r:id="rId17" w:history="1">
        <w:r w:rsidRPr="00D53C53">
          <w:rPr>
            <w:rStyle w:val="Hipervnculo"/>
            <w:rFonts w:ascii="Arial" w:eastAsia="Arial" w:hAnsi="Arial" w:cs="Arial"/>
            <w:sz w:val="22"/>
            <w:szCs w:val="22"/>
            <w:lang w:val="es-CO"/>
          </w:rPr>
          <w:t>soportecorreo@cendoj.ramajudicial.gov.co</w:t>
        </w:r>
      </w:hyperlink>
      <w:r w:rsidRPr="00D53C53">
        <w:rPr>
          <w:rFonts w:ascii="Arial" w:eastAsia="Arial" w:hAnsi="Arial" w:cs="Arial"/>
          <w:sz w:val="22"/>
          <w:szCs w:val="22"/>
          <w:lang w:val="es-CO"/>
        </w:rPr>
        <w:t>.</w:t>
      </w:r>
    </w:p>
    <w:p w14:paraId="6B52EC50" w14:textId="77777777" w:rsidR="000372CC" w:rsidRDefault="000372CC" w:rsidP="000372CC">
      <w:pPr>
        <w:jc w:val="both"/>
        <w:rPr>
          <w:rFonts w:ascii="Arial" w:eastAsia="Arial" w:hAnsi="Arial" w:cs="Arial"/>
          <w:sz w:val="22"/>
          <w:szCs w:val="22"/>
          <w:lang w:val="es-CO"/>
        </w:rPr>
      </w:pPr>
    </w:p>
    <w:p w14:paraId="6740B2E5" w14:textId="77777777" w:rsidR="000372CC" w:rsidRPr="00D53C53" w:rsidRDefault="000372CC" w:rsidP="000372CC">
      <w:pPr>
        <w:jc w:val="both"/>
        <w:rPr>
          <w:rFonts w:ascii="Arial" w:eastAsia="Arial" w:hAnsi="Arial" w:cs="Arial"/>
          <w:sz w:val="22"/>
          <w:szCs w:val="22"/>
          <w:lang w:val="es-CO"/>
        </w:rPr>
      </w:pPr>
    </w:p>
    <w:p w14:paraId="381BE285" w14:textId="77777777" w:rsidR="00C47AD9" w:rsidRDefault="00280E56"/>
    <w:sectPr w:rsidR="00C47AD9" w:rsidSect="000372CC">
      <w:headerReference w:type="default" r:id="rId18"/>
      <w:footerReference w:type="default" r:id="rId19"/>
      <w:headerReference w:type="first" r:id="rId20"/>
      <w:footerReference w:type="first" r:id="rId21"/>
      <w:pgSz w:w="12242" w:h="15842" w:code="1"/>
      <w:pgMar w:top="1701" w:right="1701" w:bottom="1701" w:left="1701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B4C88" w14:textId="77777777" w:rsidR="00515038" w:rsidRDefault="00515038">
      <w:r>
        <w:separator/>
      </w:r>
    </w:p>
  </w:endnote>
  <w:endnote w:type="continuationSeparator" w:id="0">
    <w:p w14:paraId="3D5413EF" w14:textId="77777777" w:rsidR="00515038" w:rsidRDefault="00515038">
      <w:r>
        <w:continuationSeparator/>
      </w:r>
    </w:p>
  </w:endnote>
  <w:endnote w:type="continuationNotice" w:id="1">
    <w:p w14:paraId="18A474C1" w14:textId="77777777" w:rsidR="00515038" w:rsidRDefault="005150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ylium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9F8C4" w14:textId="77777777" w:rsidR="00887FD3" w:rsidRDefault="00280E56">
    <w:pPr>
      <w:pStyle w:val="Piedepgina"/>
      <w:rPr>
        <w:b/>
        <w:i/>
      </w:rPr>
    </w:pPr>
  </w:p>
  <w:p w14:paraId="33C97CCD" w14:textId="77777777" w:rsidR="00887FD3" w:rsidRDefault="00176AB2">
    <w:pPr>
      <w:pStyle w:val="Piedepgina"/>
      <w:jc w:val="center"/>
      <w:rPr>
        <w:rFonts w:ascii="Berylium" w:eastAsia="Berylium" w:hAnsi="Berylium"/>
        <w:bCs/>
        <w:iCs/>
        <w:sz w:val="22"/>
        <w:szCs w:val="22"/>
      </w:rPr>
    </w:pPr>
    <w:r>
      <w:rPr>
        <w:rFonts w:ascii="Berylium" w:eastAsia="Berylium" w:hAnsi="Berylium"/>
        <w:bCs/>
        <w:iCs/>
        <w:sz w:val="22"/>
        <w:szCs w:val="22"/>
      </w:rPr>
      <w:t>Calle 12 No. 7 - 65   Conmutador - 5658500    www.ramajudicial.gov.co</w:t>
    </w:r>
  </w:p>
  <w:p w14:paraId="53C5A4C1" w14:textId="77777777" w:rsidR="00887FD3" w:rsidRDefault="00280E56">
    <w:pPr>
      <w:pStyle w:val="Piedepgina"/>
    </w:pPr>
  </w:p>
  <w:p w14:paraId="604E699C" w14:textId="77777777" w:rsidR="00887FD3" w:rsidRDefault="00280E5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C075A" w14:textId="77777777" w:rsidR="00887FD3" w:rsidRDefault="000372CC">
    <w:pPr>
      <w:pStyle w:val="Piedepgina"/>
      <w:rPr>
        <w:rFonts w:ascii="Berylium" w:eastAsia="Berylium" w:hAnsi="Berylium"/>
        <w:bCs/>
        <w:iCs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60C0D8D" wp14:editId="6770A719">
          <wp:simplePos x="0" y="0"/>
          <wp:positionH relativeFrom="column">
            <wp:posOffset>4406265</wp:posOffset>
          </wp:positionH>
          <wp:positionV relativeFrom="paragraph">
            <wp:posOffset>-275590</wp:posOffset>
          </wp:positionV>
          <wp:extent cx="1587500" cy="91440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75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6AB2">
      <w:rPr>
        <w:rFonts w:ascii="Berylium" w:eastAsia="Berylium" w:hAnsi="Berylium"/>
        <w:bCs/>
        <w:iCs/>
        <w:sz w:val="22"/>
        <w:szCs w:val="22"/>
      </w:rPr>
      <w:t>Calle 12 No. 7 65   Conmutador 5658500    www.ramajudicial.gov.co</w:t>
    </w:r>
  </w:p>
  <w:p w14:paraId="50E2D29F" w14:textId="77777777" w:rsidR="00887FD3" w:rsidRDefault="00280E5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DD3C5" w14:textId="77777777" w:rsidR="00515038" w:rsidRDefault="00515038">
      <w:r>
        <w:separator/>
      </w:r>
    </w:p>
  </w:footnote>
  <w:footnote w:type="continuationSeparator" w:id="0">
    <w:p w14:paraId="623C0EAB" w14:textId="77777777" w:rsidR="00515038" w:rsidRDefault="00515038">
      <w:r>
        <w:continuationSeparator/>
      </w:r>
    </w:p>
  </w:footnote>
  <w:footnote w:type="continuationNotice" w:id="1">
    <w:p w14:paraId="1CFF8418" w14:textId="77777777" w:rsidR="00515038" w:rsidRDefault="005150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C08F1" w14:textId="77777777" w:rsidR="00887FD3" w:rsidRDefault="000372CC" w:rsidP="00A93D1B">
    <w:pPr>
      <w:pStyle w:val="Encabezado"/>
      <w:jc w:val="center"/>
      <w:rPr>
        <w:rFonts w:ascii="Berylium" w:eastAsia="Berylium" w:hAnsi="Berylium"/>
        <w:b/>
        <w:bCs/>
        <w:iCs/>
        <w:sz w:val="22"/>
        <w:szCs w:val="22"/>
      </w:rPr>
    </w:pPr>
    <w:r>
      <w:rPr>
        <w:noProof/>
      </w:rPr>
      <w:drawing>
        <wp:anchor distT="0" distB="0" distL="114300" distR="114300" simplePos="0" relativeHeight="251658242" behindDoc="1" locked="0" layoutInCell="1" allowOverlap="1" wp14:anchorId="582295A1" wp14:editId="41D318DB">
          <wp:simplePos x="0" y="0"/>
          <wp:positionH relativeFrom="column">
            <wp:posOffset>-851535</wp:posOffset>
          </wp:positionH>
          <wp:positionV relativeFrom="paragraph">
            <wp:posOffset>-291465</wp:posOffset>
          </wp:positionV>
          <wp:extent cx="2390775" cy="789305"/>
          <wp:effectExtent l="0" t="0" r="9525" b="0"/>
          <wp:wrapNone/>
          <wp:docPr id="3" name="Imagen 3" descr="Logo CSJ RGB_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 CSJ RGB_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0775" cy="789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6AB2">
      <w:rPr>
        <w:rFonts w:ascii="Berylium" w:eastAsia="Berylium" w:hAnsi="Berylium"/>
        <w:b/>
        <w:bCs/>
        <w:iCs/>
        <w:sz w:val="22"/>
        <w:szCs w:val="22"/>
      </w:rPr>
      <w:t>Consejo Superior de la Judicatura</w:t>
    </w:r>
  </w:p>
  <w:p w14:paraId="7B2FEB4D" w14:textId="77777777" w:rsidR="00887FD3" w:rsidRDefault="00176AB2" w:rsidP="00A93D1B">
    <w:pPr>
      <w:pStyle w:val="Encabezado"/>
      <w:jc w:val="center"/>
      <w:rPr>
        <w:rFonts w:ascii="Berylium" w:eastAsia="Berylium" w:hAnsi="Berylium"/>
        <w:b/>
        <w:bCs/>
        <w:iCs/>
        <w:sz w:val="22"/>
        <w:szCs w:val="22"/>
      </w:rPr>
    </w:pPr>
    <w:r>
      <w:rPr>
        <w:rFonts w:ascii="Berylium" w:eastAsia="Berylium" w:hAnsi="Berylium"/>
        <w:b/>
        <w:bCs/>
        <w:iCs/>
        <w:sz w:val="22"/>
        <w:szCs w:val="22"/>
      </w:rPr>
      <w:t xml:space="preserve">Centro de Documentación Judicial </w:t>
    </w:r>
  </w:p>
  <w:p w14:paraId="7862DC6F" w14:textId="77777777" w:rsidR="00887FD3" w:rsidRDefault="00176AB2" w:rsidP="00A93D1B">
    <w:pPr>
      <w:pStyle w:val="Encabezado"/>
      <w:jc w:val="center"/>
      <w:rPr>
        <w:rFonts w:ascii="Berylium" w:eastAsia="Berylium" w:hAnsi="Berylium"/>
        <w:b/>
        <w:sz w:val="22"/>
        <w:szCs w:val="22"/>
      </w:rPr>
    </w:pPr>
    <w:r>
      <w:rPr>
        <w:rFonts w:ascii="Berylium" w:eastAsia="Berylium" w:hAnsi="Berylium"/>
        <w:b/>
        <w:bCs/>
        <w:iCs/>
        <w:sz w:val="22"/>
        <w:szCs w:val="22"/>
      </w:rPr>
      <w:t xml:space="preserve">- CENDOJ - </w:t>
    </w:r>
  </w:p>
  <w:p w14:paraId="03AF8B15" w14:textId="77777777" w:rsidR="00887FD3" w:rsidRPr="00A93D1B" w:rsidRDefault="00280E56" w:rsidP="00A93D1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AC49A" w14:textId="77777777" w:rsidR="00887FD3" w:rsidRDefault="000372CC">
    <w:pPr>
      <w:pStyle w:val="Encabezado"/>
      <w:jc w:val="center"/>
      <w:rPr>
        <w:rFonts w:ascii="Berylium" w:eastAsia="Berylium" w:hAnsi="Berylium"/>
        <w:b/>
        <w:bCs/>
        <w:iCs/>
        <w:sz w:val="22"/>
        <w:szCs w:val="22"/>
      </w:rPr>
    </w:pPr>
    <w:bookmarkStart w:id="1" w:name="_Hlk88579799"/>
    <w:bookmarkStart w:id="2" w:name="_Hlk88579800"/>
    <w:r>
      <w:rPr>
        <w:noProof/>
      </w:rPr>
      <w:drawing>
        <wp:anchor distT="0" distB="0" distL="114300" distR="114300" simplePos="0" relativeHeight="251658241" behindDoc="1" locked="0" layoutInCell="1" allowOverlap="1" wp14:anchorId="5A6D5B74" wp14:editId="305A5F70">
          <wp:simplePos x="0" y="0"/>
          <wp:positionH relativeFrom="column">
            <wp:posOffset>-851535</wp:posOffset>
          </wp:positionH>
          <wp:positionV relativeFrom="paragraph">
            <wp:posOffset>-291465</wp:posOffset>
          </wp:positionV>
          <wp:extent cx="2390775" cy="789305"/>
          <wp:effectExtent l="0" t="0" r="9525" b="0"/>
          <wp:wrapNone/>
          <wp:docPr id="2" name="Imagen 2" descr="Logo CSJ RGB_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 CSJ RGB_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0775" cy="789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6AB2">
      <w:rPr>
        <w:rFonts w:ascii="Berylium" w:eastAsia="Berylium" w:hAnsi="Berylium"/>
        <w:b/>
        <w:bCs/>
        <w:iCs/>
        <w:sz w:val="22"/>
        <w:szCs w:val="22"/>
      </w:rPr>
      <w:t>Consejo Superior de la Judicatura</w:t>
    </w:r>
  </w:p>
  <w:p w14:paraId="336517BF" w14:textId="77777777" w:rsidR="00887FD3" w:rsidRDefault="00176AB2">
    <w:pPr>
      <w:pStyle w:val="Encabezado"/>
      <w:jc w:val="center"/>
      <w:rPr>
        <w:rFonts w:ascii="Berylium" w:eastAsia="Berylium" w:hAnsi="Berylium"/>
        <w:b/>
        <w:bCs/>
        <w:iCs/>
        <w:sz w:val="22"/>
        <w:szCs w:val="22"/>
      </w:rPr>
    </w:pPr>
    <w:r>
      <w:rPr>
        <w:rFonts w:ascii="Berylium" w:eastAsia="Berylium" w:hAnsi="Berylium"/>
        <w:b/>
        <w:bCs/>
        <w:iCs/>
        <w:sz w:val="22"/>
        <w:szCs w:val="22"/>
      </w:rPr>
      <w:t xml:space="preserve">Centro de Documentación Judicial </w:t>
    </w:r>
  </w:p>
  <w:p w14:paraId="484CBF05" w14:textId="77777777" w:rsidR="00887FD3" w:rsidRDefault="00176AB2">
    <w:pPr>
      <w:pStyle w:val="Encabezado"/>
      <w:jc w:val="center"/>
      <w:rPr>
        <w:rFonts w:ascii="Berylium" w:eastAsia="Berylium" w:hAnsi="Berylium"/>
        <w:b/>
        <w:sz w:val="22"/>
        <w:szCs w:val="22"/>
      </w:rPr>
    </w:pPr>
    <w:r>
      <w:rPr>
        <w:rFonts w:ascii="Berylium" w:eastAsia="Berylium" w:hAnsi="Berylium"/>
        <w:b/>
        <w:bCs/>
        <w:iCs/>
        <w:sz w:val="22"/>
        <w:szCs w:val="22"/>
      </w:rPr>
      <w:t xml:space="preserve">- CENDOJ - </w:t>
    </w:r>
  </w:p>
  <w:bookmarkEnd w:id="1"/>
  <w:bookmarkEnd w:id="2"/>
  <w:p w14:paraId="43490B57" w14:textId="77777777" w:rsidR="00887FD3" w:rsidRDefault="00280E56">
    <w:pPr>
      <w:pStyle w:val="Encabezado"/>
      <w:rPr>
        <w:rFonts w:ascii="Berylium" w:eastAsia="Berylium" w:hAnsi="Berylium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2CC"/>
    <w:rsid w:val="000372CC"/>
    <w:rsid w:val="0006268E"/>
    <w:rsid w:val="000A3DF5"/>
    <w:rsid w:val="00125AAB"/>
    <w:rsid w:val="00176AB2"/>
    <w:rsid w:val="001B1AD5"/>
    <w:rsid w:val="001C3EA6"/>
    <w:rsid w:val="00280E56"/>
    <w:rsid w:val="002E7A65"/>
    <w:rsid w:val="003647D7"/>
    <w:rsid w:val="00415E62"/>
    <w:rsid w:val="0043432D"/>
    <w:rsid w:val="004A5640"/>
    <w:rsid w:val="004D25C9"/>
    <w:rsid w:val="00515038"/>
    <w:rsid w:val="006376D6"/>
    <w:rsid w:val="00687905"/>
    <w:rsid w:val="007E6BAC"/>
    <w:rsid w:val="008A3C06"/>
    <w:rsid w:val="00931268"/>
    <w:rsid w:val="0095371D"/>
    <w:rsid w:val="009C78E1"/>
    <w:rsid w:val="00A34102"/>
    <w:rsid w:val="00A72DF4"/>
    <w:rsid w:val="00A90468"/>
    <w:rsid w:val="00AD21D9"/>
    <w:rsid w:val="00B47963"/>
    <w:rsid w:val="00B71A9B"/>
    <w:rsid w:val="00CA5320"/>
    <w:rsid w:val="00D26D06"/>
    <w:rsid w:val="00E11DE5"/>
    <w:rsid w:val="00E67ADE"/>
    <w:rsid w:val="00EA181D"/>
    <w:rsid w:val="00F34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C751DB"/>
  <w15:chartTrackingRefBased/>
  <w15:docId w15:val="{7ADDEF68-21C9-4EA9-A62C-10AF26A9C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2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0372C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0372C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372C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0372C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unhideWhenUsed/>
    <w:rsid w:val="000372CC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A3C06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E11DE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yperlink" Target="mailto:soportecorreo@cendoj.ramajudicial.gov.co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apps.powerapps.com/play/e/default-622cba98-80f8-41f3-8df5-8eb99901598b/a/4cd7921e-9c4e-4c41-89dd-1233d398b491?tenantId=622cba98-80f8-41f3-8df5-8eb99901598b&amp;source=portal" TargetMode="Externa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241FFF05B7152439D877A6A0EA32784" ma:contentTypeVersion="14" ma:contentTypeDescription="Crear nuevo documento." ma:contentTypeScope="" ma:versionID="37ad9a65289a4489b82159db1c7107f5">
  <xsd:schema xmlns:xsd="http://www.w3.org/2001/XMLSchema" xmlns:xs="http://www.w3.org/2001/XMLSchema" xmlns:p="http://schemas.microsoft.com/office/2006/metadata/properties" xmlns:ns3="9db55c8f-f67d-4d34-88b1-3b01bae5399d" xmlns:ns4="e251756a-f770-448b-92ec-a23b37613a7b" targetNamespace="http://schemas.microsoft.com/office/2006/metadata/properties" ma:root="true" ma:fieldsID="f4c518c8b0dca0d3c07edfb3f05eb228" ns3:_="" ns4:_="">
    <xsd:import namespace="9db55c8f-f67d-4d34-88b1-3b01bae5399d"/>
    <xsd:import namespace="e251756a-f770-448b-92ec-a23b37613a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b55c8f-f67d-4d34-88b1-3b01bae539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1756a-f770-448b-92ec-a23b37613a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db55c8f-f67d-4d34-88b1-3b01bae5399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0768BF-D4FA-45C3-BFC8-107E6C1DDC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b55c8f-f67d-4d34-88b1-3b01bae5399d"/>
    <ds:schemaRef ds:uri="e251756a-f770-448b-92ec-a23b37613a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C0FF29-566A-4CF6-97C8-EA17543F1DFF}">
  <ds:schemaRefs>
    <ds:schemaRef ds:uri="http://schemas.microsoft.com/office/2006/metadata/properties"/>
    <ds:schemaRef ds:uri="http://schemas.microsoft.com/office/infopath/2007/PartnerControls"/>
    <ds:schemaRef ds:uri="9db55c8f-f67d-4d34-88b1-3b01bae5399d"/>
  </ds:schemaRefs>
</ds:datastoreItem>
</file>

<file path=customXml/itemProps3.xml><?xml version="1.0" encoding="utf-8"?>
<ds:datastoreItem xmlns:ds="http://schemas.openxmlformats.org/officeDocument/2006/customXml" ds:itemID="{C5B6A3AA-82B7-4422-9CD5-F7792136D4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482</Words>
  <Characters>2656</Characters>
  <Application>Microsoft Office Word</Application>
  <DocSecurity>4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Rama Judicial</Company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Renni De Jesus Muñoz Orozco</dc:creator>
  <cp:keywords/>
  <dc:description/>
  <cp:lastModifiedBy>Renni De Jesus Muñoz Orozco</cp:lastModifiedBy>
  <cp:revision>2</cp:revision>
  <dcterms:created xsi:type="dcterms:W3CDTF">2023-03-24T20:16:00Z</dcterms:created>
  <dcterms:modified xsi:type="dcterms:W3CDTF">2023-03-24T20:16:00Z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0x0101008241FFF05B7152439D877A6A0EA32784</vt:lpwstr>
  </property>
  <property fmtid="{D5CDD505-2E9C-101B-9397-08002B2CF9AE}" pid="3" name="MediaServiceImageTags">
    <vt:lpwstr/>
  </property>
</Properties>
</file>